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B900" w14:textId="79319FC0" w:rsidR="001C3967" w:rsidRDefault="00CA1B67" w:rsidP="001C3967">
      <w:pPr>
        <w:jc w:val="center"/>
        <w:rPr>
          <w:rFonts w:ascii="Times New Roman" w:hAnsi="Times New Roman"/>
          <w:sz w:val="24"/>
          <w:szCs w:val="22"/>
        </w:rPr>
      </w:pPr>
      <w:r>
        <w:rPr>
          <w:rFonts w:ascii="Times New Roman" w:hAnsi="Times New Roman"/>
          <w:sz w:val="24"/>
        </w:rPr>
        <w:t>LT</w:t>
      </w:r>
    </w:p>
    <w:p w14:paraId="2097FAFC" w14:textId="77777777" w:rsidR="001C3967" w:rsidRDefault="001C3967" w:rsidP="001C3967">
      <w:pPr>
        <w:rPr>
          <w:rFonts w:asciiTheme="minorHAnsi" w:hAnsiTheme="minorHAnsi"/>
          <w:sz w:val="22"/>
        </w:rPr>
      </w:pPr>
    </w:p>
    <w:p w14:paraId="1A446CB5" w14:textId="77777777" w:rsidR="0086495E" w:rsidRPr="00037E7B" w:rsidRDefault="0086495E" w:rsidP="0086495E">
      <w:pPr>
        <w:jc w:val="center"/>
        <w:rPr>
          <w:rFonts w:ascii="Times New Roman" w:hAnsi="Times New Roman"/>
          <w:sz w:val="24"/>
        </w:rPr>
      </w:pPr>
      <w:r>
        <w:rPr>
          <w:rFonts w:ascii="Times New Roman" w:hAnsi="Times New Roman"/>
          <w:sz w:val="24"/>
        </w:rPr>
        <w:t>II PRIEDAS</w:t>
      </w:r>
    </w:p>
    <w:p w14:paraId="4E0B1D04" w14:textId="77777777" w:rsidR="0086495E" w:rsidRPr="00037E7B" w:rsidRDefault="0086495E" w:rsidP="0086495E">
      <w:pPr>
        <w:jc w:val="center"/>
        <w:rPr>
          <w:rFonts w:ascii="Times New Roman" w:hAnsi="Times New Roman"/>
          <w:sz w:val="24"/>
        </w:rPr>
      </w:pPr>
      <w:r>
        <w:rPr>
          <w:rFonts w:ascii="Times New Roman" w:hAnsi="Times New Roman"/>
          <w:sz w:val="24"/>
        </w:rPr>
        <w:t>„II PRIEDAS</w:t>
      </w:r>
    </w:p>
    <w:p w14:paraId="1B650450" w14:textId="77777777" w:rsidR="0086495E" w:rsidRPr="00037E7B" w:rsidRDefault="0086495E" w:rsidP="0086495E">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B9B322A" w14:textId="77777777" w:rsidR="00E26A90" w:rsidRDefault="00E26A90"/>
    <w:p w14:paraId="19ADD1FC" w14:textId="77777777" w:rsidR="00B35565" w:rsidRDefault="00B35565" w:rsidP="00B35565">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3C5D79AD" w14:textId="77777777" w:rsidR="00B35565" w:rsidRDefault="00B35565" w:rsidP="00B3556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911C679" w14:textId="77777777" w:rsidR="00B35565" w:rsidRPr="00736637" w:rsidRDefault="00B35565" w:rsidP="00B3556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rFonts w:ascii="Times New Roman" w:hAnsi="Times New Roman" w:cs="Times New Roman"/>
          <w:sz w:val="24"/>
          <w:u w:val="none"/>
        </w:rPr>
      </w:pPr>
      <w:r>
        <w:rPr>
          <w:rFonts w:ascii="Times New Roman" w:hAnsi="Times New Roman"/>
          <w:sz w:val="24"/>
          <w:u w:val="none"/>
        </w:rPr>
        <w:t>3.5a. C 10.00. Kredito rizika, sandorio šalies kredito rizika ir nebaigti sandoriai. IRB pozicijos, kurioms taikoma rezultatų apatinė riba</w:t>
      </w:r>
    </w:p>
    <w:p w14:paraId="0F58EFDD" w14:textId="01613982" w:rsidR="009658DD" w:rsidRPr="004637BB" w:rsidRDefault="009658DD" w:rsidP="00031259">
      <w:pPr>
        <w:pStyle w:val="Instructionsberschrift2"/>
        <w:numPr>
          <w:ilvl w:val="0"/>
          <w:numId w:val="0"/>
        </w:numPr>
        <w:ind w:left="360"/>
        <w:rPr>
          <w:rFonts w:ascii="Times New Roman" w:hAnsi="Times New Roman" w:cs="Times New Roman"/>
          <w:sz w:val="24"/>
        </w:rPr>
      </w:pPr>
      <w:bookmarkStart w:id="0" w:name="_Toc151714425"/>
      <w:r>
        <w:rPr>
          <w:rFonts w:ascii="Times New Roman" w:hAnsi="Times New Roman"/>
          <w:sz w:val="24"/>
          <w:u w:val="none"/>
        </w:rPr>
        <w:t xml:space="preserve">3.5a.1. </w:t>
      </w:r>
      <w:r>
        <w:rPr>
          <w:rFonts w:ascii="Times New Roman" w:hAnsi="Times New Roman"/>
          <w:sz w:val="24"/>
        </w:rPr>
        <w:t>Bendrosios pastabos</w:t>
      </w:r>
      <w:bookmarkEnd w:id="0"/>
    </w:p>
    <w:p w14:paraId="61F697DF" w14:textId="7433E710" w:rsidR="009658DD" w:rsidRDefault="007F005E" w:rsidP="009658DD">
      <w:pPr>
        <w:pStyle w:val="InstructionsText2"/>
        <w:numPr>
          <w:ilvl w:val="0"/>
          <w:numId w:val="0"/>
        </w:numPr>
        <w:ind w:left="1353"/>
        <w:rPr>
          <w:noProof/>
        </w:rPr>
      </w:pPr>
      <w:r>
        <w:t>91b. Įstaigos, kurios taiko IRB metodą, C 10.00 nurodo IRB pozicijas, suskirstytas pagal SA pozicijų klases, ir informaciją apie šių pozicijų standartizuotos bendros rizikos pozicijos sumos apskaičiavimą. 0100–0120 skiltyse renkama informacija apie pereinamojo laikotarpio nuostatų, susijusių su šių pozicijų rezultatų apatine riba, poveikį.</w:t>
      </w:r>
    </w:p>
    <w:p w14:paraId="757B818D" w14:textId="3ED1BD9A" w:rsidR="00031259" w:rsidRPr="00B64C8A" w:rsidRDefault="00031259" w:rsidP="00031259">
      <w:pPr>
        <w:pStyle w:val="InstructionsText2"/>
        <w:numPr>
          <w:ilvl w:val="0"/>
          <w:numId w:val="0"/>
        </w:numPr>
        <w:ind w:left="1353"/>
        <w:rPr>
          <w:noProof/>
        </w:rPr>
      </w:pPr>
      <w:r>
        <w:t>91c. Įstaigos, kurios SA pozicijų sumoms apskaičiuoti taiko Reglamento (ES) Nr. 575/2013 6 skyriaus 6 skirsnyje nustatytą vidaus modelio metodą (IMM), informaciją teikia šios formos 0270 eilutėje.</w:t>
      </w:r>
    </w:p>
    <w:p w14:paraId="4C2D34C1" w14:textId="18F2C523" w:rsidR="009658DD" w:rsidRDefault="009658DD" w:rsidP="009658DD">
      <w:pPr>
        <w:pStyle w:val="Instructionsberschrift2"/>
        <w:numPr>
          <w:ilvl w:val="0"/>
          <w:numId w:val="0"/>
        </w:numPr>
        <w:ind w:left="360"/>
        <w:rPr>
          <w:rFonts w:ascii="Times New Roman" w:hAnsi="Times New Roman" w:cs="Times New Roman"/>
          <w:sz w:val="24"/>
        </w:rPr>
      </w:pPr>
      <w:bookmarkStart w:id="1" w:name="_Toc151714426"/>
      <w:r>
        <w:rPr>
          <w:rFonts w:ascii="Times New Roman" w:hAnsi="Times New Roman"/>
          <w:sz w:val="24"/>
          <w:u w:val="none"/>
        </w:rPr>
        <w:t xml:space="preserve">3.5a.2. </w:t>
      </w:r>
      <w:r>
        <w:rPr>
          <w:rFonts w:ascii="Times New Roman" w:hAnsi="Times New Roman"/>
          <w:sz w:val="24"/>
        </w:rPr>
        <w:t>Nurodymai dėl konkrečių pozicijų</w:t>
      </w:r>
      <w:bookmarkEnd w:id="1"/>
    </w:p>
    <w:tbl>
      <w:tblPr>
        <w:tblW w:w="9634" w:type="dxa"/>
        <w:tblLook w:val="01E0" w:firstRow="1" w:lastRow="1" w:firstColumn="1" w:lastColumn="1" w:noHBand="0" w:noVBand="0"/>
      </w:tblPr>
      <w:tblGrid>
        <w:gridCol w:w="1129"/>
        <w:gridCol w:w="8"/>
        <w:gridCol w:w="8497"/>
      </w:tblGrid>
      <w:tr w:rsidR="009658DD" w:rsidRPr="002A677E"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Skiltys</w:t>
            </w:r>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497" w:type="dxa"/>
          </w:tcPr>
          <w:p w14:paraId="0A86BDA1" w14:textId="77777777" w:rsidR="009658DD" w:rsidRPr="00BF08E5" w:rsidRDefault="009658DD" w:rsidP="00CA1B67">
            <w:pPr>
              <w:pStyle w:val="InstructionsText"/>
              <w:ind w:left="0"/>
              <w:rPr>
                <w:rStyle w:val="InstructionsTabelleberschrift"/>
              </w:rPr>
            </w:pPr>
            <w:r w:rsidRPr="00CA1B67">
              <w:rPr>
                <w:rStyle w:val="InstructionsTabelleberschrift"/>
                <w:rFonts w:ascii="Times New Roman" w:hAnsi="Times New Roman"/>
                <w:sz w:val="24"/>
                <w:lang w:eastAsia="en-US"/>
              </w:rPr>
              <w:t>PRADINĖ POZICIJA IKI PERSKAIČIAVIMO KOEFICIENTŲ TAIKYMO</w:t>
            </w:r>
          </w:p>
          <w:p w14:paraId="6E2574B8" w14:textId="6450DDAF" w:rsidR="009658DD" w:rsidRPr="00BF08E5" w:rsidRDefault="009658DD" w:rsidP="00822842">
            <w:pPr>
              <w:spacing w:beforeLines="60" w:before="144" w:afterLines="60" w:after="144"/>
              <w:rPr>
                <w:rStyle w:val="InstructionsTabelleText"/>
                <w:rFonts w:ascii="Times New Roman" w:hAnsi="Times New Roman"/>
                <w:sz w:val="24"/>
              </w:rPr>
            </w:pPr>
            <w:r>
              <w:rPr>
                <w:rFonts w:ascii="Times New Roman" w:hAnsi="Times New Roman"/>
                <w:sz w:val="24"/>
              </w:rPr>
              <w:t>Žr. nurodymus dėl C 07.00 formos 0010 skilties.</w:t>
            </w:r>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497" w:type="dxa"/>
          </w:tcPr>
          <w:p w14:paraId="6F542E1E"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SU PRADINE POZICIJA SUSIJĘ VERTĖS KOREGAVIMAI IR ATIDĖJINIAI</w:t>
            </w:r>
          </w:p>
          <w:p w14:paraId="0B7A2AC4"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Žr. nurodymus dėl C 07.00 formos 0030 skilties.</w:t>
            </w:r>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w:t>
            </w:r>
          </w:p>
        </w:tc>
        <w:tc>
          <w:tcPr>
            <w:tcW w:w="8497" w:type="dxa"/>
          </w:tcPr>
          <w:p w14:paraId="2C9DC305"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POZICIJA ATĖMUS VERTĖS KOREGAVIMUS IR ATIDĖJINIUS</w:t>
            </w:r>
          </w:p>
          <w:p w14:paraId="6DAAFC5A"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0010 ir 0020 skilčių reikšmių suma.</w:t>
            </w:r>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0040</w:t>
            </w:r>
          </w:p>
        </w:tc>
        <w:tc>
          <w:tcPr>
            <w:tcW w:w="8497" w:type="dxa"/>
          </w:tcPr>
          <w:p w14:paraId="07B9E69A"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VERTĖ</w:t>
            </w:r>
          </w:p>
          <w:p w14:paraId="31C89221" w14:textId="597B888A" w:rsidR="009658DD" w:rsidRPr="00BF08E5" w:rsidRDefault="009658DD" w:rsidP="00822842">
            <w:pPr>
              <w:spacing w:beforeLines="60" w:before="144" w:afterLines="60" w:after="144"/>
              <w:rPr>
                <w:rStyle w:val="InstructionsTabelleText"/>
                <w:rFonts w:ascii="Times New Roman" w:hAnsi="Times New Roman"/>
                <w:sz w:val="24"/>
              </w:rPr>
            </w:pPr>
            <w:r w:rsidRPr="00CA1B67">
              <w:rPr>
                <w:rFonts w:ascii="Times New Roman" w:hAnsi="Times New Roman"/>
                <w:sz w:val="24"/>
              </w:rPr>
              <w:t>Žr. nurodymus dėl C 07.00 formos 0200 skilties.</w:t>
            </w: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497" w:type="dxa"/>
          </w:tcPr>
          <w:p w14:paraId="448E18E1" w14:textId="5C7DB538" w:rsidR="009658DD" w:rsidRPr="000059B8" w:rsidRDefault="009658DD" w:rsidP="00822842">
            <w:pPr>
              <w:rPr>
                <w:rFonts w:ascii="Times New Roman" w:hAnsi="Times New Roman"/>
                <w:sz w:val="24"/>
              </w:rPr>
            </w:pPr>
            <w:r>
              <w:rPr>
                <w:rStyle w:val="InstructionsTabelleberschrift"/>
                <w:rFonts w:ascii="Times New Roman" w:hAnsi="Times New Roman"/>
                <w:sz w:val="24"/>
              </w:rPr>
              <w:t>DALIS, KURIĄ ATITINKA: SUSIDARANTI DĖL SANDORIO ŠALIES KREDITO RIZIKOS</w:t>
            </w:r>
          </w:p>
          <w:p w14:paraId="080A825F" w14:textId="219531D5" w:rsidR="009658DD" w:rsidRPr="00BF08E5" w:rsidRDefault="009658DD" w:rsidP="00822842">
            <w:pPr>
              <w:spacing w:beforeLines="60" w:before="144" w:afterLines="60" w:after="144"/>
              <w:rPr>
                <w:rStyle w:val="InstructionsTabelleberschrift"/>
                <w:rFonts w:ascii="Times New Roman" w:hAnsi="Times New Roman"/>
                <w:b w:val="0"/>
                <w:sz w:val="24"/>
              </w:rPr>
            </w:pPr>
            <w:r>
              <w:rPr>
                <w:rFonts w:ascii="Times New Roman" w:hAnsi="Times New Roman"/>
                <w:sz w:val="24"/>
              </w:rPr>
              <w:t>Žr. nurodymus dėl C 07.00 formos 0210 skilties.</w:t>
            </w: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0060–0080</w:t>
            </w:r>
          </w:p>
        </w:tc>
        <w:tc>
          <w:tcPr>
            <w:tcW w:w="8497" w:type="dxa"/>
          </w:tcPr>
          <w:p w14:paraId="75A5626D"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REZULTATŲ APATINĖ RIBA</w:t>
            </w:r>
          </w:p>
          <w:p w14:paraId="64BDF185" w14:textId="77777777" w:rsidR="009658DD" w:rsidRPr="00BF08E5" w:rsidRDefault="009658DD" w:rsidP="00822842">
            <w:pPr>
              <w:spacing w:beforeLines="60" w:before="144" w:afterLines="60" w:after="144"/>
              <w:rPr>
                <w:rStyle w:val="InstructionsTabelleText"/>
                <w:rFonts w:ascii="Times New Roman" w:hAnsi="Times New Roman"/>
                <w:sz w:val="24"/>
              </w:rPr>
            </w:pPr>
            <w:r>
              <w:rPr>
                <w:rFonts w:ascii="Times New Roman" w:hAnsi="Times New Roman"/>
                <w:sz w:val="24"/>
              </w:rPr>
              <w:t xml:space="preserve">Reglamento (ES) Nr. 575/2013 92 straipsnio 3 dalis ir 92 straipsnio 5 dalis. </w:t>
            </w:r>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497" w:type="dxa"/>
          </w:tcPr>
          <w:p w14:paraId="1B9A1B0D"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STANDARTIZUOTA BENDRA RIZIKOS POZICIJOS SUMA (S-TREA)</w:t>
            </w:r>
          </w:p>
          <w:p w14:paraId="020C8A08"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Standartizuota bendra rizikos pozicijos suma (S-TREA), apskaičiuota pagal Reglamento (ES) Nr. 575/2013 92 straipsnio 5 dalį.</w:t>
            </w:r>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497" w:type="dxa"/>
          </w:tcPr>
          <w:p w14:paraId="2DE38CF8"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SUSIDARANTI DĖL SANDORIO ŠALIES KREDITO RIZIKOS</w:t>
            </w:r>
          </w:p>
          <w:p w14:paraId="0DA3DB3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Sandorio šalies kredito rizikos S-TREA, apskaičiuota pagal Reglamento (ES) Nr. 575/2013 trečios dalies II antraštinės dalies 6 skyriuje nustatytus metodus.</w:t>
            </w:r>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497" w:type="dxa"/>
          </w:tcPr>
          <w:p w14:paraId="1788967F" w14:textId="7FCA6F9F"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SU PASKIRTOSIOS ECAI ATLIKTU KREDITO VERTINIMU</w:t>
            </w:r>
          </w:p>
          <w:p w14:paraId="6E024992"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Reglamento (ES) Nr. 575/2013 112 straipsnio a–d, f, g, l, n, o ir q punktai.</w:t>
            </w:r>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0090–0110</w:t>
            </w:r>
          </w:p>
        </w:tc>
        <w:tc>
          <w:tcPr>
            <w:tcW w:w="8497" w:type="dxa"/>
          </w:tcPr>
          <w:p w14:paraId="50239EBA" w14:textId="73A58BEC"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PAPILDOMI STRAIPSNIAI. RWEA VERTĖ, SUSIJUSI SU TAM TIKRŲ PEREINAMOJO LAIKOTARPIO NUOSTATŲ TAIKYMU</w:t>
            </w:r>
          </w:p>
          <w:p w14:paraId="018D1E5D"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Reglamento (ES) Nr. 575/2013 </w:t>
            </w:r>
            <w:r>
              <w:rPr>
                <w:rStyle w:val="InstructionsTabelleberschrift"/>
                <w:rFonts w:ascii="Times New Roman" w:hAnsi="Times New Roman"/>
                <w:b w:val="0"/>
                <w:sz w:val="24"/>
                <w:u w:val="none"/>
              </w:rPr>
              <w:t>92 straipsnio 3 dalis ir 465 straipsnis.</w:t>
            </w:r>
            <w:r>
              <w:rPr>
                <w:rFonts w:ascii="Times New Roman" w:hAnsi="Times New Roman"/>
                <w:sz w:val="24"/>
              </w:rPr>
              <w:t xml:space="preserve"> Nurodomas RWEA vertės, apskaičiuotos netaikant pereinamojo laikotarpio nuostatų, ir RWEA vertės, apskaičiuotos tas nuostatas taikant, skirtumas.</w:t>
            </w:r>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497" w:type="dxa"/>
          </w:tcPr>
          <w:p w14:paraId="3FD78950"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SIEKIANČIA IKI 55 % TURTO VERTĖS, UŽTIKRINTOS POZICIJOS</w:t>
            </w:r>
          </w:p>
          <w:p w14:paraId="4ABBA76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Reglamento (ES) Nr. 575/2013</w:t>
            </w:r>
            <w:r>
              <w:rPr>
                <w:rFonts w:ascii="Times New Roman" w:hAnsi="Times New Roman"/>
                <w:sz w:val="24"/>
              </w:rPr>
              <w:t xml:space="preserve"> 465 straipsnio 5 dalies a punktas.</w:t>
            </w:r>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0100</w:t>
            </w:r>
          </w:p>
        </w:tc>
        <w:tc>
          <w:tcPr>
            <w:tcW w:w="8497" w:type="dxa"/>
          </w:tcPr>
          <w:p w14:paraId="226E0B2F"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SIEKIANČIA 55–80 % TURTO VERTĖS, UŽTIKRINTOS POZICIJOS</w:t>
            </w:r>
          </w:p>
          <w:p w14:paraId="72AFD28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Reglamento (ES) Nr. 575/2013</w:t>
            </w:r>
            <w:r>
              <w:rPr>
                <w:rFonts w:ascii="Times New Roman" w:hAnsi="Times New Roman"/>
                <w:sz w:val="24"/>
              </w:rPr>
              <w:t xml:space="preserve"> 465 straipsnio 5 dalies b punktas.</w:t>
            </w:r>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0110</w:t>
            </w:r>
          </w:p>
        </w:tc>
        <w:tc>
          <w:tcPr>
            <w:tcW w:w="8497" w:type="dxa"/>
          </w:tcPr>
          <w:p w14:paraId="52668FDF"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NEREITINGUOTŲ ĮMONIŲ, TURINČIŲ PD ĮVERTĮ, POZICIJOS</w:t>
            </w:r>
          </w:p>
          <w:p w14:paraId="43AA2D10"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rPr>
              <w:t>Reglamento (ES) Nr. 575/2013</w:t>
            </w:r>
            <w:r>
              <w:rPr>
                <w:rFonts w:ascii="Times New Roman" w:hAnsi="Times New Roman"/>
                <w:sz w:val="24"/>
              </w:rPr>
              <w:t xml:space="preserve"> 465 straipsnio 3 dalis.</w:t>
            </w:r>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BF08E5"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0120</w:t>
            </w:r>
          </w:p>
        </w:tc>
        <w:tc>
          <w:tcPr>
            <w:tcW w:w="8497" w:type="dxa"/>
          </w:tcPr>
          <w:p w14:paraId="76C04A50" w14:textId="3AA704BF" w:rsidR="00F42716" w:rsidRDefault="00031259"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IRB POZICIJOS, KURIOMS KYLA SANDORIO ŠALIES KREDITO RIZIKA PAGAL IMM</w:t>
            </w:r>
          </w:p>
          <w:p w14:paraId="44DDA90D" w14:textId="11F3D5C3" w:rsidR="00F42716" w:rsidRPr="00F42716" w:rsidRDefault="00F42716" w:rsidP="0082284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rPr>
              <w:t>Reglamento (ES) Nr. 575/2013</w:t>
            </w:r>
            <w:r>
              <w:rPr>
                <w:rFonts w:ascii="Times New Roman" w:hAnsi="Times New Roman"/>
                <w:sz w:val="24"/>
              </w:rPr>
              <w:t xml:space="preserve"> 465 straipsnio 4 dalis.</w:t>
            </w:r>
          </w:p>
        </w:tc>
      </w:tr>
      <w:tr w:rsidR="009658DD" w:rsidRPr="000059B8"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E1B470D" w:rsidR="009658DD" w:rsidRPr="00BF08E5" w:rsidRDefault="009658DD" w:rsidP="00822842">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Eilutės</w:t>
            </w:r>
          </w:p>
        </w:tc>
      </w:tr>
      <w:tr w:rsidR="009658DD" w:rsidRPr="000059B8"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POZICIJŲ SUMA</w:t>
            </w:r>
          </w:p>
          <w:p w14:paraId="12F57A9B" w14:textId="77777777" w:rsidR="009658DD" w:rsidRPr="00BF08E5" w:rsidRDefault="009658DD" w:rsidP="00822842">
            <w:pPr>
              <w:keepNext/>
              <w:spacing w:beforeLines="60" w:before="144" w:afterLines="60" w:after="144"/>
              <w:rPr>
                <w:rStyle w:val="InstructionsTabelleText"/>
                <w:rFonts w:ascii="Times New Roman" w:hAnsi="Times New Roman"/>
                <w:sz w:val="24"/>
              </w:rPr>
            </w:pPr>
            <w:r>
              <w:rPr>
                <w:rFonts w:ascii="Times New Roman" w:hAnsi="Times New Roman"/>
                <w:sz w:val="24"/>
              </w:rPr>
              <w:t>Reglamento (ES) Nr. 575/2013 92 straipsnio 3 dalis, 95, 96 ir 98 straipsniai.</w:t>
            </w:r>
          </w:p>
        </w:tc>
      </w:tr>
      <w:tr w:rsidR="009658DD" w:rsidRPr="000059B8"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papildomi griežtesni rizikos ribojimo reikalavimai pagal Reglamento (ES) Nr. 575/2013 124 straipsnį</w:t>
            </w:r>
          </w:p>
          <w:p w14:paraId="1B71DEF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Fonts w:ascii="Times New Roman" w:hAnsi="Times New Roman"/>
                <w:sz w:val="24"/>
              </w:rPr>
              <w:t>Įstaigos nurodo papildomas rizikos pozicijos sumas, reikalingas siekiant laikytis pagal Reglamento (ES) Nr. 575/2013 124 straipsnio 2 ir 5 dalis pasikonsultavus su EBI įstaigoms pateiktų griežtesnių rizikos ribojimo reikalavimų.</w:t>
            </w:r>
          </w:p>
        </w:tc>
      </w:tr>
      <w:tr w:rsidR="009658DD" w:rsidRPr="000059B8"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Pozicijų klasės pagal standartizuotą metodą, išskyrus pakeitimo vertybiniais popieriais pozicijas</w:t>
            </w:r>
          </w:p>
          <w:p w14:paraId="77EE2E9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CR SA forma bendrų pozicijų sumų lygmeniu. Pozicijų klasės pagal SA metodą – tai Reglamento (ES) Nr. 575/2013 112 straipsnyje išvardytos pozicijų klasės, išskyrus pakeitimo vertybiniais popieriais pozicijas.</w:t>
            </w:r>
          </w:p>
        </w:tc>
      </w:tr>
      <w:tr w:rsidR="009658DD" w:rsidRPr="000059B8"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Centrinės valdžios arba centrinių bankų pozicijos</w:t>
            </w:r>
          </w:p>
          <w:p w14:paraId="07B1B11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Regioninės arba vietos valdžios institucijų pozicijos</w:t>
            </w:r>
          </w:p>
          <w:p w14:paraId="4FD1E92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Viešojo sektoriaus subjektų pozicijos </w:t>
            </w:r>
          </w:p>
          <w:p w14:paraId="1CAF5DD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Daugiašalių plėtros bankų pozicijos</w:t>
            </w:r>
          </w:p>
          <w:p w14:paraId="4C77987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Tarptautinių organizacijų pozicijos</w:t>
            </w:r>
          </w:p>
          <w:p w14:paraId="0A6B8FF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Įstaigų pozicijos</w:t>
            </w:r>
          </w:p>
          <w:p w14:paraId="41CD1CB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Įmonių pozicijos: kitos pozicijos</w:t>
            </w:r>
          </w:p>
          <w:p w14:paraId="7F09FF3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F42716" w:rsidRPr="000059B8"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Dalis, kurią atitinka: nereitinguotų įmonių, turinčių PD įvertį, pozicijos</w:t>
            </w:r>
          </w:p>
          <w:p w14:paraId="3C17B48F" w14:textId="60283FFA" w:rsidR="00F42716" w:rsidRPr="00F42716" w:rsidRDefault="00F42716"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rPr>
              <w:t>Reglamento (ES) Nr. 575/2013</w:t>
            </w:r>
            <w:r>
              <w:rPr>
                <w:rFonts w:ascii="Times New Roman" w:hAnsi="Times New Roman"/>
                <w:sz w:val="24"/>
              </w:rPr>
              <w:t xml:space="preserve"> 465 straipsnio 3 dalis.</w:t>
            </w:r>
          </w:p>
        </w:tc>
      </w:tr>
      <w:tr w:rsidR="009658DD" w:rsidRPr="000059B8"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Pr>
              <w:t>0110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1429361A" w:rsidR="009658DD" w:rsidRPr="00F42716"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Dalis, kurią atitinka: įsigytos gautinos sumos</w:t>
            </w:r>
          </w:p>
          <w:p w14:paraId="6CA59863" w14:textId="77777777" w:rsidR="009658DD" w:rsidRPr="004F4F7B"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rPr>
              <w:t>Pozicijos, taikant IRB metodą priskirtos prie pozicijų klasės „Įsigytos gautinos sumos“ pagal Reglamento (ES) Nr. 575/2013 147 straipsnio 2 dalies c punkto iii papunktį.</w:t>
            </w:r>
          </w:p>
        </w:tc>
      </w:tr>
      <w:tr w:rsidR="009658DD" w:rsidRPr="000059B8"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Įmonių pozicijos: specializuoto skolinimo pozicijos</w:t>
            </w:r>
          </w:p>
          <w:p w14:paraId="1A6312A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Mažmeninės pozicijos</w:t>
            </w:r>
          </w:p>
          <w:p w14:paraId="46E09BC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7781AD23" w:rsidR="009658DD" w:rsidRPr="00F42716"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Reikalavimus atitinkančios atnaujinamosios pozicijos</w:t>
            </w:r>
          </w:p>
          <w:p w14:paraId="6784663B"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Pozicijos, taikant IRB metodą priskirtos prie pozicijų klasės „Įsigytos gautinos sumos“ pagal Reglamento (ES) Nr. 575/2013 147 straipsnio 2 dalies d punkto i papunktį.</w:t>
            </w:r>
          </w:p>
        </w:tc>
      </w:tr>
      <w:tr w:rsidR="009658DD" w:rsidRPr="000059B8"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1B7EA947" w:rsidR="009658DD" w:rsidRPr="000234CA"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įsigytos gautinos sumos</w:t>
            </w:r>
          </w:p>
          <w:p w14:paraId="7A29F356"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Pozicijos, taikant IRB metodą priskirtos prie pozicijų klasės „Įsigytos gautinos sumos“ pagal Reglamento (ES) Nr. 575/2013 147 straipsnio 2 dalies d punkto iii papunktį.</w:t>
            </w:r>
          </w:p>
        </w:tc>
      </w:tr>
      <w:tr w:rsidR="009658DD" w:rsidRPr="000059B8"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Nekilnojamojo turto hipoteka užtikrintos pozicijos ir ADC pozicijos </w:t>
            </w:r>
          </w:p>
          <w:p w14:paraId="6A97630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F42716" w:rsidRPr="000059B8"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6530C02A"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gyvenamosios paskirties nekilnojamojo turto hipoteka, siekiančia iki 55 % turto vertės, užtikrintos pozicijos</w:t>
            </w:r>
          </w:p>
          <w:p w14:paraId="044648D8" w14:textId="29763600"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Reglamento (ES) Nr. 575/2013</w:t>
            </w:r>
            <w:r>
              <w:rPr>
                <w:rFonts w:ascii="Times New Roman" w:hAnsi="Times New Roman"/>
                <w:sz w:val="24"/>
              </w:rPr>
              <w:t xml:space="preserve"> 465 straipsnio 5 dalies a punktas.</w:t>
            </w:r>
          </w:p>
        </w:tc>
      </w:tr>
      <w:tr w:rsidR="00F42716" w:rsidRPr="000059B8"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7ADFD25C"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Dalis, kurią atitinka: gyvenamosios paskirties nekilnojamojo turto hipoteka, siekiančia 55–80 % turto vertės, užtikrintos pozicijos</w:t>
            </w:r>
          </w:p>
          <w:p w14:paraId="1F2DFE4A" w14:textId="4701280A"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Reglamento (ES) Nr. 575/2013</w:t>
            </w:r>
            <w:r>
              <w:rPr>
                <w:rFonts w:ascii="Times New Roman" w:hAnsi="Times New Roman"/>
                <w:sz w:val="24"/>
              </w:rPr>
              <w:t xml:space="preserve"> 465 straipsnio 5 dalies b punktas.</w:t>
            </w:r>
          </w:p>
        </w:tc>
      </w:tr>
      <w:tr w:rsidR="001E0830" w:rsidRPr="002A677E"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54A98537"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gyvenamosios paskirties nekilnojamojo turto hipoteka užtikrintos pozicijos: ne IPRE pozicijos (užtikrintos)</w:t>
            </w:r>
          </w:p>
          <w:p w14:paraId="1336D8BC"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72A062E2"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gyvenamosios paskirties nekilnojamojo turto hipoteka užtikrintos pozicijos: ne IPRE pozicijos (neužtikrintos)</w:t>
            </w:r>
          </w:p>
          <w:p w14:paraId="10BC669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2E1FB091"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gyvenamosios paskirties nekilnojamojo turto hipoteka užtikrintos pozicijos: kitos pozicijos, ne IPRE pozicijos</w:t>
            </w:r>
          </w:p>
          <w:p w14:paraId="6EFCB6F5"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10C56366"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gyvenamosios paskirties nekilnojamojo turto hipoteka užtikrintos pozicijos: IPRE pozicijos</w:t>
            </w:r>
          </w:p>
          <w:p w14:paraId="42EC293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64C72BE1"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kitos pozicijos, IPRE pozicijos</w:t>
            </w:r>
          </w:p>
          <w:p w14:paraId="0DC3800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28C9C05D"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ne IPRE pozicijos (užtikrintos)</w:t>
            </w:r>
          </w:p>
          <w:p w14:paraId="16490978" w14:textId="77777777" w:rsidR="001E0830" w:rsidRPr="009161EF" w:rsidRDefault="001E0830" w:rsidP="001E0830">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b/>
                <w:sz w:val="24"/>
                <w:u w:val="single"/>
              </w:rPr>
              <w:t>Žr. CR SA formą.</w:t>
            </w:r>
          </w:p>
        </w:tc>
      </w:tr>
      <w:tr w:rsidR="001E0830" w:rsidRPr="002A677E"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2636D84D"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ne IPRE pozicijos (neužtikrintos)</w:t>
            </w:r>
          </w:p>
          <w:p w14:paraId="5F988EFF"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33C3BFF7"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kitos pozicijos, ne IPRE pozicijos</w:t>
            </w:r>
          </w:p>
          <w:p w14:paraId="23004142"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0C82B58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IPRE pozicijos</w:t>
            </w:r>
          </w:p>
          <w:p w14:paraId="4BEE550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66AFA9FD"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komercinės paskirties nekilnojamojo turto hipoteka užtikrintos pozicijos: kitos pozicijos, IPRE pozicijos</w:t>
            </w:r>
          </w:p>
          <w:p w14:paraId="4636ED4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1E0830" w:rsidRPr="002A677E"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6FFD3439"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įsigijimo, vystymo ir statybos pozicijos (ADC pozicijos)</w:t>
            </w:r>
          </w:p>
          <w:p w14:paraId="6F33B2A8"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Žr. CR SA formą.</w:t>
            </w:r>
          </w:p>
        </w:tc>
      </w:tr>
      <w:tr w:rsidR="009658DD" w:rsidRPr="000059B8"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FormatvorlageInstructionsTabelleText"/>
                <w:rFonts w:ascii="Times New Roman" w:hAnsi="Times New Roman"/>
                <w:sz w:val="24"/>
              </w:rPr>
              <w:t>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4E51AB26" w:rsidR="009658DD" w:rsidRPr="000234CA"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užtikrintos gyvenamosios paskirties nekilnojamuoju turtu, kuriam taikomas IRB metodas</w:t>
            </w:r>
          </w:p>
          <w:p w14:paraId="6209048C" w14:textId="77777777" w:rsidR="009658DD" w:rsidRPr="00CA1B67" w:rsidRDefault="009658DD" w:rsidP="00822842">
            <w:pPr>
              <w:keepNext/>
              <w:spacing w:beforeLines="60" w:before="144" w:afterLines="60" w:after="144"/>
              <w:rPr>
                <w:rStyle w:val="InstructionsTabelleberschrift"/>
                <w:rFonts w:ascii="Times New Roman" w:hAnsi="Times New Roman"/>
                <w:b w:val="0"/>
                <w:bCs w:val="0"/>
                <w:sz w:val="24"/>
                <w:u w:val="none"/>
              </w:rPr>
            </w:pPr>
            <w:r w:rsidRPr="00CA1B67">
              <w:rPr>
                <w:rStyle w:val="InstructionsTabelleberschrift"/>
                <w:rFonts w:ascii="Times New Roman" w:hAnsi="Times New Roman"/>
                <w:b w:val="0"/>
                <w:sz w:val="24"/>
                <w:u w:val="none"/>
              </w:rPr>
              <w:t>Pozicijos, taikant IRB metodą priskirtos prie pozicijų klasės „Įsigytos gautinos sumos“ pagal Reglamento (ES) Nr. 575/2013 147 straipsnio 2 dalies d punkto ii papunktį.</w:t>
            </w:r>
          </w:p>
        </w:tc>
      </w:tr>
      <w:tr w:rsidR="009658DD" w:rsidRPr="000059B8"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Pozicijos esant įsipareigojimų neįvykdymui </w:t>
            </w:r>
          </w:p>
          <w:p w14:paraId="7493433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Subordinuotosios skolos pozicijos</w:t>
            </w:r>
          </w:p>
          <w:p w14:paraId="4F12074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Padengtosios obligacijos</w:t>
            </w:r>
          </w:p>
          <w:p w14:paraId="16F94FD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0210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Trumpalaikį kredito vertinimą turinčių įstaigų ir įmonių pozicijos </w:t>
            </w:r>
          </w:p>
          <w:p w14:paraId="5CCE01A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Kolektyvinio investavimo subjektų (KIS) pozicijos</w:t>
            </w:r>
          </w:p>
          <w:p w14:paraId="0AFC108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w:t>
            </w:r>
          </w:p>
          <w:p w14:paraId="6C586F4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Kiti straipsniai</w:t>
            </w:r>
          </w:p>
          <w:p w14:paraId="7EDA85D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9658DD" w:rsidRPr="000059B8"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Pr>
              <w:t>PAPILDOMI STRAIPSNIAI</w:t>
            </w:r>
          </w:p>
        </w:tc>
      </w:tr>
      <w:tr w:rsidR="009658DD" w:rsidRPr="000059B8"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Pr>
              <w:t>0250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Įmonių pozicijos. F-IRB</w:t>
            </w:r>
          </w:p>
          <w:p w14:paraId="58B2B8FF"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Įmonių pozicijos, kurioms taikomas pagrindinis IRB metodas</w:t>
            </w:r>
          </w:p>
        </w:tc>
      </w:tr>
      <w:tr w:rsidR="009658DD" w:rsidRPr="000059B8"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Pr>
              <w:t>0260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Įmonių pozicijos. A-IRB</w:t>
            </w:r>
          </w:p>
          <w:p w14:paraId="595A9482"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Įmonių pozicijos, kurioms taikomas pažangusis IRB metodas</w:t>
            </w:r>
          </w:p>
        </w:tc>
      </w:tr>
      <w:tr w:rsidR="00031259" w:rsidRPr="000059B8"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 pozicijos, kurioms kyla sandorio šalies kredito rizika pagal IMM</w:t>
            </w:r>
          </w:p>
          <w:p w14:paraId="2E869C45" w14:textId="77777777" w:rsidR="00031259" w:rsidRPr="00031259" w:rsidRDefault="00031259" w:rsidP="00035FAB">
            <w:pPr>
              <w:keepNext/>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465 straipsnio 4 dalis.</w:t>
            </w:r>
          </w:p>
        </w:tc>
      </w:tr>
    </w:tbl>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EE5ED" w14:textId="77777777" w:rsidR="00927660" w:rsidRDefault="00927660" w:rsidP="00E26A90">
      <w:pPr>
        <w:spacing w:after="0"/>
      </w:pPr>
      <w:r>
        <w:separator/>
      </w:r>
    </w:p>
  </w:endnote>
  <w:endnote w:type="continuationSeparator" w:id="0">
    <w:p w14:paraId="5B4762FF" w14:textId="77777777" w:rsidR="00927660" w:rsidRDefault="0092766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A36B" w14:textId="77777777" w:rsidR="00927660" w:rsidRDefault="00927660" w:rsidP="00E26A90">
      <w:pPr>
        <w:spacing w:after="0"/>
      </w:pPr>
      <w:r>
        <w:separator/>
      </w:r>
    </w:p>
  </w:footnote>
  <w:footnote w:type="continuationSeparator" w:id="0">
    <w:p w14:paraId="70BF7D7D" w14:textId="77777777" w:rsidR="00927660" w:rsidRDefault="0092766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F005E"/>
    <w:rsid w:val="0086495E"/>
    <w:rsid w:val="00903A46"/>
    <w:rsid w:val="00927660"/>
    <w:rsid w:val="009658DD"/>
    <w:rsid w:val="00980154"/>
    <w:rsid w:val="009E7597"/>
    <w:rsid w:val="00A17931"/>
    <w:rsid w:val="00A6002C"/>
    <w:rsid w:val="00B137CA"/>
    <w:rsid w:val="00B303D8"/>
    <w:rsid w:val="00B35565"/>
    <w:rsid w:val="00B71F25"/>
    <w:rsid w:val="00CA1B67"/>
    <w:rsid w:val="00CB7E34"/>
    <w:rsid w:val="00E26A90"/>
    <w:rsid w:val="00E45F82"/>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8ADCA4FF-94C5-48A7-AD8D-D890B8E30E0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1134</Words>
  <Characters>7215</Characters>
  <Application>Microsoft Office Word</Application>
  <DocSecurity>0</DocSecurity>
  <Lines>232</Lines>
  <Paragraphs>208</Paragraphs>
  <ScaleCrop>false</ScaleCrop>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2025-01-26T17:39:00Z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2025-01-26T17:39:26Z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354c438d-91be-4985-ab1d-16bcbe576142</vt:lpwstr>
  </property>
  <property fmtid="{D5CDD505-2E9C-101B-9397-08002B2CF9AE}" pid="9" name="MSIP_Label_6bd9ddd1-4d20-43f6-abfa-fc3c07406f94_ContentBits">
    <vt:lpwstr>0</vt:lpwstr>
  </property>
</Properties>
</file>